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F3D7" w14:textId="77777777" w:rsidR="00B27C71" w:rsidRPr="00BD102A" w:rsidRDefault="00B27C71" w:rsidP="00BD102A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1066B61" w14:textId="77777777" w:rsidR="00223277" w:rsidRPr="00BD102A" w:rsidRDefault="00B27C71" w:rsidP="00BD102A">
      <w:pPr>
        <w:pStyle w:val="textCenter"/>
        <w:spacing w:after="120" w:line="240" w:lineRule="auto"/>
        <w:rPr>
          <w:rFonts w:asciiTheme="minorHAnsi" w:hAnsiTheme="minorHAnsi" w:cstheme="minorHAnsi"/>
          <w:sz w:val="32"/>
          <w:szCs w:val="32"/>
        </w:rPr>
      </w:pPr>
      <w:r w:rsidRPr="00BD102A">
        <w:rPr>
          <w:rStyle w:val="fontEvento"/>
          <w:rFonts w:asciiTheme="minorHAnsi" w:hAnsiTheme="minorHAnsi" w:cstheme="minorHAnsi"/>
          <w:b/>
          <w:sz w:val="32"/>
          <w:szCs w:val="32"/>
        </w:rPr>
        <w:t xml:space="preserve">II JORNADA DE DIREITO PROCESSUAL CIVIL </w:t>
      </w:r>
    </w:p>
    <w:p w14:paraId="5E522DC5" w14:textId="77777777" w:rsidR="00223277" w:rsidRPr="00BD102A" w:rsidRDefault="00B27C71" w:rsidP="00BD102A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t>(Brasília, 13 e 14 de setembro de 2018)</w:t>
      </w:r>
    </w:p>
    <w:p w14:paraId="11B2CDFD" w14:textId="77777777" w:rsidR="00865A04" w:rsidRPr="00BD102A" w:rsidRDefault="00865A04" w:rsidP="00BD102A">
      <w:pPr>
        <w:spacing w:after="120" w:line="240" w:lineRule="auto"/>
        <w:outlineLvl w:val="0"/>
        <w:rPr>
          <w:rFonts w:asciiTheme="minorHAnsi" w:eastAsia="Arial Unicode MS" w:hAnsiTheme="minorHAnsi" w:cstheme="minorHAnsi"/>
          <w:sz w:val="24"/>
          <w:szCs w:val="24"/>
          <w:u w:color="000000"/>
        </w:rPr>
      </w:pPr>
    </w:p>
    <w:p w14:paraId="13951A36" w14:textId="77777777" w:rsidR="0067533E" w:rsidRPr="00BD102A" w:rsidRDefault="0067533E" w:rsidP="00BD102A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D102A">
        <w:rPr>
          <w:rFonts w:asciiTheme="minorHAnsi" w:hAnsiTheme="minorHAnsi" w:cstheme="minorHAnsi"/>
          <w:b/>
          <w:sz w:val="32"/>
          <w:szCs w:val="32"/>
          <w:u w:val="single"/>
        </w:rPr>
        <w:t>COMISSÃO CIENTÍFICA</w:t>
      </w:r>
    </w:p>
    <w:p w14:paraId="5A1B3F0A" w14:textId="77777777" w:rsidR="00865A04" w:rsidRPr="00BD102A" w:rsidRDefault="0067533E" w:rsidP="00F65610">
      <w:pPr>
        <w:spacing w:after="120" w:line="240" w:lineRule="auto"/>
        <w:jc w:val="both"/>
        <w:outlineLvl w:val="0"/>
        <w:rPr>
          <w:rFonts w:asciiTheme="minorHAnsi" w:eastAsia="Arial Unicode MS" w:hAnsiTheme="minorHAnsi" w:cstheme="minorHAnsi"/>
          <w:sz w:val="24"/>
          <w:szCs w:val="24"/>
          <w:u w:color="000000"/>
        </w:rPr>
      </w:pPr>
      <w:r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>COORDENADOR GERAL:</w:t>
      </w:r>
      <w:r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 xml:space="preserve"> </w:t>
      </w:r>
      <w:r w:rsidR="00865A04"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Ministro Raul Araújo</w:t>
      </w:r>
      <w:r w:rsidR="00865A04"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>, Corregedor-Geral da Justiça Federal e Diretor do Centro de Estudos Judiciários</w:t>
      </w:r>
    </w:p>
    <w:p w14:paraId="624E5007" w14:textId="77777777" w:rsidR="00865A04" w:rsidRPr="00BD102A" w:rsidRDefault="0067533E" w:rsidP="00F65610">
      <w:pPr>
        <w:spacing w:after="120" w:line="240" w:lineRule="auto"/>
        <w:jc w:val="both"/>
        <w:outlineLvl w:val="0"/>
        <w:rPr>
          <w:rFonts w:asciiTheme="minorHAnsi" w:eastAsia="Arial Unicode MS" w:hAnsiTheme="minorHAnsi" w:cstheme="minorHAnsi"/>
          <w:b/>
          <w:sz w:val="24"/>
          <w:szCs w:val="24"/>
          <w:u w:color="000000"/>
        </w:rPr>
      </w:pPr>
      <w:r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>COORDENADOR GERAL CIENTÍFICO:</w:t>
      </w:r>
      <w:r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 xml:space="preserve"> </w:t>
      </w:r>
      <w:r w:rsidR="00865A04"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Ministro Mauro Campbell Marques</w:t>
      </w:r>
      <w:r w:rsidR="00865A04"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>, Superior Tribunal de Justiça</w:t>
      </w:r>
      <w:r w:rsidR="00865A04"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 xml:space="preserve"> </w:t>
      </w:r>
    </w:p>
    <w:p w14:paraId="7160FDDF" w14:textId="77777777" w:rsidR="00865A04" w:rsidRPr="00BD102A" w:rsidRDefault="0067533E" w:rsidP="00F65610">
      <w:pPr>
        <w:spacing w:after="120" w:line="240" w:lineRule="auto"/>
        <w:jc w:val="both"/>
        <w:outlineLvl w:val="0"/>
        <w:rPr>
          <w:rFonts w:asciiTheme="minorHAnsi" w:eastAsia="Arial Unicode MS" w:hAnsiTheme="minorHAnsi" w:cstheme="minorHAnsi"/>
          <w:sz w:val="24"/>
          <w:szCs w:val="24"/>
          <w:u w:color="000000"/>
        </w:rPr>
      </w:pPr>
      <w:r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 xml:space="preserve">SECRETÁRIO EXECUTIVO GERAL: </w:t>
      </w:r>
      <w:r w:rsidR="00865A04" w:rsidRPr="00BD102A">
        <w:rPr>
          <w:rFonts w:asciiTheme="minorHAnsi" w:eastAsia="Arial Unicode MS" w:hAnsiTheme="minorHAnsi" w:cstheme="minorHAnsi"/>
          <w:b/>
          <w:sz w:val="24"/>
          <w:szCs w:val="24"/>
          <w:u w:color="000000"/>
        </w:rPr>
        <w:t>Fabiano Tesolin</w:t>
      </w:r>
      <w:r w:rsidR="00865A04"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 xml:space="preserve">, Assessor </w:t>
      </w:r>
      <w:r w:rsidR="00414D92">
        <w:rPr>
          <w:rFonts w:asciiTheme="minorHAnsi" w:eastAsia="Arial Unicode MS" w:hAnsiTheme="minorHAnsi" w:cstheme="minorHAnsi"/>
          <w:sz w:val="24"/>
          <w:szCs w:val="24"/>
          <w:u w:color="000000"/>
        </w:rPr>
        <w:t xml:space="preserve">no </w:t>
      </w:r>
      <w:r w:rsidR="00865A04" w:rsidRPr="00BD102A">
        <w:rPr>
          <w:rFonts w:asciiTheme="minorHAnsi" w:eastAsia="Arial Unicode MS" w:hAnsiTheme="minorHAnsi" w:cstheme="minorHAnsi"/>
          <w:sz w:val="24"/>
          <w:szCs w:val="24"/>
          <w:u w:color="000000"/>
        </w:rPr>
        <w:t>Superior Tribunal de Justiça</w:t>
      </w:r>
    </w:p>
    <w:p w14:paraId="30F85258" w14:textId="77777777" w:rsidR="00223277" w:rsidRPr="00BD102A" w:rsidRDefault="00223277" w:rsidP="00BD102A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7BB709" w14:textId="77777777" w:rsidR="0067533E" w:rsidRPr="00BD102A" w:rsidRDefault="0067533E" w:rsidP="00BD102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u w:val="single"/>
        </w:rPr>
      </w:pPr>
      <w:r w:rsidRPr="00BD102A">
        <w:rPr>
          <w:rFonts w:asciiTheme="minorHAnsi" w:eastAsiaTheme="minorHAnsi" w:hAnsiTheme="minorHAnsi" w:cstheme="minorHAnsi"/>
          <w:b/>
          <w:sz w:val="32"/>
          <w:szCs w:val="32"/>
          <w:u w:val="single"/>
        </w:rPr>
        <w:t>COMISSÕES DE TRABALHO</w:t>
      </w:r>
    </w:p>
    <w:p w14:paraId="4229AF88" w14:textId="77777777" w:rsidR="0067533E" w:rsidRPr="00BD102A" w:rsidRDefault="0067533E" w:rsidP="00F656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BD102A">
        <w:rPr>
          <w:rFonts w:asciiTheme="minorHAnsi" w:eastAsiaTheme="minorHAnsi" w:hAnsiTheme="minorHAnsi" w:cstheme="minorHAnsi"/>
          <w:b/>
          <w:bCs/>
          <w:sz w:val="24"/>
          <w:szCs w:val="24"/>
        </w:rPr>
        <w:t>PARTE GERAL</w:t>
      </w:r>
    </w:p>
    <w:p w14:paraId="543FD763" w14:textId="77777777" w:rsidR="00865A04" w:rsidRPr="00BD102A" w:rsidRDefault="0067533E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>PRESIDENTE: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Ministra Nancy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Andrighi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, Superior Tribunal de Justiça</w:t>
      </w:r>
    </w:p>
    <w:p w14:paraId="3036C8C8" w14:textId="77777777" w:rsidR="00865A04" w:rsidRPr="00BD102A" w:rsidRDefault="0067533E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>RELATOR: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Desembargador Federal Ney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Bello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, Tribunal Regional Federal da 1ª Região </w:t>
      </w:r>
    </w:p>
    <w:p w14:paraId="40C17600" w14:textId="77777777" w:rsidR="00865A04" w:rsidRPr="00BD102A" w:rsidRDefault="0067533E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COORDENADORES CIENTÍFICOS: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Nelson Nery Jr., José Miguel Garcia Medina e Daniel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Mitidiero</w:t>
      </w:r>
      <w:proofErr w:type="spellEnd"/>
    </w:p>
    <w:p w14:paraId="58D8B391" w14:textId="77777777" w:rsidR="00865A04" w:rsidRPr="00BD102A" w:rsidRDefault="0067533E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SECRETÁRIO EXECUTIVO: </w:t>
      </w:r>
      <w:r w:rsidR="00865A04" w:rsidRPr="00BD102A">
        <w:rPr>
          <w:rFonts w:asciiTheme="minorHAnsi" w:hAnsiTheme="minorHAnsi" w:cstheme="minorHAnsi"/>
          <w:color w:val="000000"/>
          <w:sz w:val="24"/>
          <w:szCs w:val="24"/>
        </w:rPr>
        <w:t>Juiz Federal Marcio André Lopes Cavalcante, 1ª Região</w:t>
      </w:r>
    </w:p>
    <w:p w14:paraId="0C6DAC27" w14:textId="77777777" w:rsidR="00865A04" w:rsidRPr="00BD102A" w:rsidRDefault="00865A04" w:rsidP="00BD10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6720BEA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D102A">
        <w:rPr>
          <w:rFonts w:asciiTheme="minorHAnsi" w:eastAsia="Calibri" w:hAnsiTheme="minorHAnsi" w:cstheme="minorHAnsi"/>
          <w:b/>
          <w:bCs/>
          <w:sz w:val="24"/>
          <w:szCs w:val="24"/>
        </w:rPr>
        <w:t>PROCESSO DE CONHECIMENTO</w:t>
      </w:r>
    </w:p>
    <w:p w14:paraId="403FEF3E" w14:textId="77777777" w:rsidR="00865A04" w:rsidRPr="00BD102A" w:rsidRDefault="0067533E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PRESIDENTE: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Ministra Isabel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Galotti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, Superior Tribunal de Justiça</w:t>
      </w:r>
    </w:p>
    <w:p w14:paraId="6FC9F231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>RELATOR: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Desembargador Federal Rogério de Meneses Fialho Moreira, Tribunal Regional Federal da 5ª Região</w:t>
      </w:r>
    </w:p>
    <w:p w14:paraId="315D2562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COORDENADORES CIENTÍFICOS: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Humberto Theodoro Jr.,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Fredie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Didier Jr. e Eduardo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Talamini</w:t>
      </w:r>
      <w:proofErr w:type="spellEnd"/>
    </w:p>
    <w:p w14:paraId="5D6FE383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SECRETÁRIO EXECUTIVO: </w:t>
      </w:r>
      <w:r w:rsidR="00865A04" w:rsidRPr="00BD102A">
        <w:rPr>
          <w:rFonts w:asciiTheme="minorHAnsi" w:hAnsiTheme="minorHAnsi" w:cstheme="minorHAnsi"/>
          <w:color w:val="000000"/>
          <w:sz w:val="24"/>
          <w:szCs w:val="24"/>
        </w:rPr>
        <w:t>Juiz Federal Frederico Koehler, 5ª Região</w:t>
      </w:r>
    </w:p>
    <w:p w14:paraId="2877FA4C" w14:textId="77777777" w:rsidR="00865A04" w:rsidRPr="00BD102A" w:rsidRDefault="00865A0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DCA0A0E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D102A">
        <w:rPr>
          <w:rFonts w:asciiTheme="minorHAnsi" w:eastAsia="Calibri" w:hAnsiTheme="minorHAnsi" w:cstheme="minorHAnsi"/>
          <w:b/>
          <w:bCs/>
          <w:sz w:val="24"/>
          <w:szCs w:val="24"/>
        </w:rPr>
        <w:t>TUTELA PROVISÓRIA E PROCEDIMENTOS ESPECIAIS</w:t>
      </w:r>
    </w:p>
    <w:p w14:paraId="6AF089C2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PRESIDENTE: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Ministro Sérgio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Kukina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, Superior Tribunal de Justiça</w:t>
      </w:r>
    </w:p>
    <w:p w14:paraId="28E1CD0A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>RELATOR: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Desembargador Federal Fernando Quadros, Tribunal Regional Federal da 4ª Região</w:t>
      </w:r>
    </w:p>
    <w:p w14:paraId="7983D252" w14:textId="77777777" w:rsidR="00865A04" w:rsidRPr="00BD102A" w:rsidRDefault="004228E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COORDENADORES CIENTÍFICOS: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José dos Santos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Bedaque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, Sérgio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Arenhart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e Flávio Luiz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Yarshell</w:t>
      </w:r>
      <w:proofErr w:type="spellEnd"/>
    </w:p>
    <w:p w14:paraId="51287DE3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SECRETÁRIA EXECUTIVA: </w:t>
      </w:r>
      <w:r w:rsidR="00865A04"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Juíza Federal Leila Paiva Morrison, 3ª Região. </w:t>
      </w:r>
    </w:p>
    <w:p w14:paraId="19724F19" w14:textId="77777777" w:rsidR="00865A04" w:rsidRPr="00BD102A" w:rsidRDefault="00865A04" w:rsidP="00BD102A">
      <w:pPr>
        <w:autoSpaceDE w:val="0"/>
        <w:autoSpaceDN w:val="0"/>
        <w:adjustRightInd w:val="0"/>
        <w:spacing w:after="120" w:line="240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1513F8F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D102A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RECURSOS E PRECEDENTES JUDICIAIS</w:t>
      </w:r>
    </w:p>
    <w:p w14:paraId="350023BF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PRESIDENTE: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>Ministro Humberto Martins, Superior Tribunal de Justiça</w:t>
      </w:r>
    </w:p>
    <w:p w14:paraId="61682536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RELATOR: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>Desembargador Federal Aluisio Gonçalves de Castro Mendes, Tribunal Regional Federal da 2ª Região</w:t>
      </w:r>
    </w:p>
    <w:p w14:paraId="736865C0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COORDENADORES CIENTÍFICOS: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Teresa Arruda Alvim, Cassio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Scarpinella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Bueno e Rodolfo de Camargo Mancuso</w:t>
      </w:r>
    </w:p>
    <w:p w14:paraId="07146E7D" w14:textId="77777777" w:rsidR="00865A04" w:rsidRPr="00BD102A" w:rsidRDefault="00865A04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Secretária Executiva: Juíza Federal Daniela </w:t>
      </w:r>
      <w:proofErr w:type="spellStart"/>
      <w:r w:rsidRPr="00BD102A">
        <w:rPr>
          <w:rFonts w:asciiTheme="minorHAnsi" w:hAnsiTheme="minorHAnsi" w:cstheme="minorHAnsi"/>
          <w:color w:val="000000"/>
          <w:sz w:val="24"/>
          <w:szCs w:val="24"/>
        </w:rPr>
        <w:t>Tochetto</w:t>
      </w:r>
      <w:proofErr w:type="spellEnd"/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 Cavalheiro, 4ª Região</w:t>
      </w:r>
    </w:p>
    <w:p w14:paraId="35DF6F14" w14:textId="77777777" w:rsidR="00865A04" w:rsidRPr="00BD102A" w:rsidRDefault="00865A04" w:rsidP="00BD102A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7B5188C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BD102A">
        <w:rPr>
          <w:rFonts w:asciiTheme="minorHAnsi" w:eastAsia="Calibri" w:hAnsiTheme="minorHAnsi" w:cstheme="minorHAnsi"/>
          <w:b/>
          <w:bCs/>
          <w:sz w:val="24"/>
          <w:szCs w:val="24"/>
        </w:rPr>
        <w:t>EXECUÇÃO E CUMPRIMENTO DE SENTENÇA</w:t>
      </w:r>
    </w:p>
    <w:p w14:paraId="597B9B3C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PRESIDENTE: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>Ministro Ribeiro Dantas, Superior Tribunal de Justiça</w:t>
      </w:r>
    </w:p>
    <w:p w14:paraId="75FF279B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RELATORA: </w:t>
      </w:r>
      <w:r w:rsidR="00865A04" w:rsidRPr="00BD102A">
        <w:rPr>
          <w:rFonts w:asciiTheme="minorHAnsi" w:eastAsia="Calibri" w:hAnsiTheme="minorHAnsi" w:cstheme="minorHAnsi"/>
          <w:sz w:val="24"/>
          <w:szCs w:val="24"/>
        </w:rPr>
        <w:t>Desembargadora Federal Mônica Nobre, Tribunal Regional Federal da 3ª Região</w:t>
      </w:r>
    </w:p>
    <w:p w14:paraId="589F6B34" w14:textId="77777777" w:rsidR="00865A04" w:rsidRPr="00BD102A" w:rsidRDefault="00BD102A" w:rsidP="00F65610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D102A">
        <w:rPr>
          <w:rFonts w:asciiTheme="minorHAnsi" w:eastAsia="Calibri" w:hAnsiTheme="minorHAnsi" w:cstheme="minorHAnsi"/>
          <w:sz w:val="24"/>
          <w:szCs w:val="24"/>
        </w:rPr>
        <w:t xml:space="preserve">COORDENADORES CIENTÍFICOS: </w:t>
      </w:r>
      <w:proofErr w:type="spellStart"/>
      <w:r w:rsidR="00865A04" w:rsidRPr="00BD102A">
        <w:rPr>
          <w:rFonts w:asciiTheme="minorHAnsi" w:eastAsia="Calibri" w:hAnsiTheme="minorHAnsi" w:cstheme="minorHAnsi"/>
          <w:sz w:val="24"/>
          <w:szCs w:val="24"/>
        </w:rPr>
        <w:t>Araken</w:t>
      </w:r>
      <w:proofErr w:type="spellEnd"/>
      <w:r w:rsidR="00865A04" w:rsidRPr="00BD102A">
        <w:rPr>
          <w:rFonts w:asciiTheme="minorHAnsi" w:eastAsia="Calibri" w:hAnsiTheme="minorHAnsi" w:cstheme="minorHAnsi"/>
          <w:sz w:val="24"/>
          <w:szCs w:val="24"/>
        </w:rPr>
        <w:t xml:space="preserve"> de Assis, Eduardo Arruda Alvim e Antonio do Passo Cabral</w:t>
      </w:r>
    </w:p>
    <w:p w14:paraId="76E09A81" w14:textId="77777777" w:rsidR="00865A04" w:rsidRPr="00BD102A" w:rsidRDefault="00BD102A" w:rsidP="00F65610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D102A">
        <w:rPr>
          <w:rFonts w:asciiTheme="minorHAnsi" w:hAnsiTheme="minorHAnsi" w:cstheme="minorHAnsi"/>
          <w:color w:val="000000"/>
          <w:sz w:val="24"/>
          <w:szCs w:val="24"/>
        </w:rPr>
        <w:t xml:space="preserve">SECRETÁRIO EXECUTIVO: </w:t>
      </w:r>
      <w:r w:rsidR="00865A04" w:rsidRPr="00BD102A">
        <w:rPr>
          <w:rFonts w:asciiTheme="minorHAnsi" w:hAnsiTheme="minorHAnsi" w:cstheme="minorHAnsi"/>
          <w:color w:val="000000"/>
          <w:sz w:val="24"/>
          <w:szCs w:val="24"/>
        </w:rPr>
        <w:t>Juiz Federal Marcelo Rosado, 2ª Região</w:t>
      </w:r>
    </w:p>
    <w:p w14:paraId="2194474B" w14:textId="77777777" w:rsidR="00BD102A" w:rsidRDefault="00BD102A" w:rsidP="00BD102A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07FC89C" w14:textId="77777777" w:rsidR="00F65610" w:rsidRPr="00BD102A" w:rsidRDefault="00F65610" w:rsidP="00BD102A">
      <w:p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3FE3A2" w14:textId="77777777" w:rsidR="00BD102A" w:rsidRPr="00BD102A" w:rsidRDefault="00BD102A" w:rsidP="00BD102A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D102A">
        <w:rPr>
          <w:rFonts w:asciiTheme="minorHAnsi" w:hAnsiTheme="minorHAnsi" w:cstheme="minorHAnsi"/>
          <w:b/>
          <w:sz w:val="32"/>
          <w:szCs w:val="32"/>
          <w:u w:val="single"/>
        </w:rPr>
        <w:t>ENUNCIADOS APROVADOS</w:t>
      </w:r>
    </w:p>
    <w:p w14:paraId="1B0CAB53" w14:textId="77777777" w:rsidR="00721CF7" w:rsidRPr="00BD102A" w:rsidRDefault="00721CF7" w:rsidP="00BD102A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t>PARTE GERAL</w:t>
      </w:r>
      <w:r w:rsidR="00B9307D" w:rsidRPr="00BD10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155117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108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competência prevista nas alíneas do art. 53, I, do CPC não é de foros concorrentes, mas de foros subsidiários.</w:t>
      </w:r>
    </w:p>
    <w:p w14:paraId="5CD4B333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109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Na hipótese de cumulação alternativa, acolhido integralmente um dos pedidos, a sucumbência deve ser suportada pelo réu. </w:t>
      </w:r>
    </w:p>
    <w:p w14:paraId="66EB8F2E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110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instauração do incidente de desconsideração da personalidade jurídica não suspenderá a tramitação do processo de execução e do cumprimento de sentença em face dos executados originários.</w:t>
      </w:r>
    </w:p>
    <w:p w14:paraId="75E0C7E0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111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incidente de desconsideração da personalidade jurídica pode ser aplicado ao processo falimentar.</w:t>
      </w:r>
    </w:p>
    <w:p w14:paraId="4B60D95B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112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intervenção do Ministério Público como fiscal da ordem jurídica não inviabiliza a celebração de negócios processuais.</w:t>
      </w:r>
    </w:p>
    <w:p w14:paraId="5D7F50FF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113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As disposições previstas nos </w:t>
      </w:r>
      <w:proofErr w:type="spellStart"/>
      <w:r w:rsidRPr="00BD102A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BD102A">
        <w:rPr>
          <w:rFonts w:asciiTheme="minorHAnsi" w:hAnsiTheme="minorHAnsi" w:cstheme="minorHAnsi"/>
          <w:sz w:val="24"/>
          <w:szCs w:val="24"/>
        </w:rPr>
        <w:t>. 190 e 191 do CPC poderão ser aplicadas ao procedimento de recuperação judicial.</w:t>
      </w:r>
    </w:p>
    <w:p w14:paraId="785337C6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114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Os entes despersonalizados podem celebrar negócios jurídicos processuais.</w:t>
      </w:r>
    </w:p>
    <w:p w14:paraId="2B8FB1C6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lastRenderedPageBreak/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115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negócio jurídico processual somente se submeterá à homologação quando expressamente exigido em norma jurídica, admitindo-se, em todo caso, o controle de validade da convenção.</w:t>
      </w:r>
    </w:p>
    <w:p w14:paraId="42A3C2BC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116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Aplica-se o art. 219 do CPC na contagem dos prazos processuais previstos na Lei n. 6.830/1980.</w:t>
      </w:r>
    </w:p>
    <w:p w14:paraId="1F727CEB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117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art. 356 do CPC pode ser aplicado nos julgamentos dos tribunais.</w:t>
      </w:r>
    </w:p>
    <w:p w14:paraId="062EF5F4" w14:textId="77777777" w:rsidR="00721CF7" w:rsidRPr="00BD102A" w:rsidRDefault="00721CF7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É cabível a fixação de honorários advocatícios na ação de produção antecipada de provas na hipótese de resistência da parte requerida na produção da prova.</w:t>
      </w:r>
    </w:p>
    <w:p w14:paraId="529E360E" w14:textId="77777777" w:rsidR="00F00558" w:rsidRPr="00BD102A" w:rsidRDefault="00F00558" w:rsidP="00F65610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8C9B91" w14:textId="77777777" w:rsidR="00B862EE" w:rsidRPr="00BD102A" w:rsidRDefault="00B862EE" w:rsidP="00F65610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t>PROCESSO DE CONHECIMENTO</w:t>
      </w:r>
    </w:p>
    <w:p w14:paraId="1F38D368" w14:textId="77777777" w:rsidR="00D15044" w:rsidRPr="00BD102A" w:rsidRDefault="00B862EE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119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D15044" w:rsidRPr="00BD102A">
        <w:rPr>
          <w:rFonts w:asciiTheme="minorHAnsi" w:hAnsiTheme="minorHAnsi" w:cstheme="minorHAnsi"/>
          <w:sz w:val="24"/>
          <w:szCs w:val="24"/>
        </w:rPr>
        <w:t>É admissível o ajuizamento de ação de exibição de documentos, de forma autônoma, inclusive pelo procedimento comum do CPC (art. 318 e seguintes).</w:t>
      </w:r>
    </w:p>
    <w:p w14:paraId="62130C6E" w14:textId="77777777" w:rsidR="00F00558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120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Deve o juiz determinar a emenda também na reconvenção, possibilitando ao reconvinte, a fim de evitar a sua rejeição prematura, corrigir defeitos e/ou irregularidades</w:t>
      </w:r>
      <w:r w:rsidR="00F00558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0FD0B506" w14:textId="77777777" w:rsidR="000F5020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121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CA44BD" w:rsidRPr="00BD102A">
        <w:rPr>
          <w:rFonts w:asciiTheme="minorHAnsi" w:hAnsiTheme="minorHAnsi" w:cstheme="minorHAnsi"/>
          <w:sz w:val="24"/>
          <w:szCs w:val="24"/>
        </w:rPr>
        <w:t xml:space="preserve">Não cabe aplicar multa a quem, comparecendo </w:t>
      </w:r>
      <w:r w:rsidR="0060680B" w:rsidRPr="00BD102A">
        <w:rPr>
          <w:rFonts w:asciiTheme="minorHAnsi" w:hAnsiTheme="minorHAnsi" w:cstheme="minorHAnsi"/>
          <w:sz w:val="24"/>
          <w:szCs w:val="24"/>
        </w:rPr>
        <w:t>à</w:t>
      </w:r>
      <w:r w:rsidR="00CA44BD" w:rsidRPr="00BD102A">
        <w:rPr>
          <w:rFonts w:asciiTheme="minorHAnsi" w:hAnsiTheme="minorHAnsi" w:cstheme="minorHAnsi"/>
          <w:sz w:val="24"/>
          <w:szCs w:val="24"/>
        </w:rPr>
        <w:t xml:space="preserve"> audiência </w:t>
      </w:r>
      <w:r w:rsidR="0060680B" w:rsidRPr="00BD102A">
        <w:rPr>
          <w:rFonts w:asciiTheme="minorHAnsi" w:hAnsiTheme="minorHAnsi" w:cstheme="minorHAnsi"/>
          <w:sz w:val="24"/>
          <w:szCs w:val="24"/>
        </w:rPr>
        <w:t xml:space="preserve">do </w:t>
      </w:r>
      <w:r w:rsidR="00CA44BD" w:rsidRPr="00BD102A">
        <w:rPr>
          <w:rFonts w:asciiTheme="minorHAnsi" w:hAnsiTheme="minorHAnsi" w:cstheme="minorHAnsi"/>
          <w:sz w:val="24"/>
          <w:szCs w:val="24"/>
        </w:rPr>
        <w:t>art. 334 do CPC, apenas manifesta desinteresse na realização de acordo, salvo se a sessão foi designada unicamente por requerimento seu e não houver justificativa para a alteração de posição.</w:t>
      </w:r>
    </w:p>
    <w:p w14:paraId="54BD7195" w14:textId="77777777" w:rsidR="0085655A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122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prazo de contestação é contado a partir do primeiro dia</w:t>
      </w:r>
      <w:r w:rsidR="004078F3" w:rsidRPr="00BD102A">
        <w:rPr>
          <w:rFonts w:asciiTheme="minorHAnsi" w:hAnsiTheme="minorHAnsi" w:cstheme="minorHAnsi"/>
          <w:sz w:val="24"/>
          <w:szCs w:val="24"/>
        </w:rPr>
        <w:t xml:space="preserve"> útil</w:t>
      </w:r>
      <w:r w:rsidRPr="00BD102A">
        <w:rPr>
          <w:rFonts w:asciiTheme="minorHAnsi" w:hAnsiTheme="minorHAnsi" w:cstheme="minorHAnsi"/>
          <w:sz w:val="24"/>
          <w:szCs w:val="24"/>
        </w:rPr>
        <w:t xml:space="preserve"> seguinte à realização da audiência de conciliação ou mediação, ou da última sessão de conciliação ou mediação, na hipótese de incidência do art</w:t>
      </w:r>
      <w:r w:rsidR="00CD7E27">
        <w:rPr>
          <w:rFonts w:asciiTheme="minorHAnsi" w:hAnsiTheme="minorHAnsi" w:cstheme="minorHAnsi"/>
          <w:sz w:val="24"/>
          <w:szCs w:val="24"/>
        </w:rPr>
        <w:t xml:space="preserve">. </w:t>
      </w:r>
      <w:r w:rsidRPr="00BD102A">
        <w:rPr>
          <w:rFonts w:asciiTheme="minorHAnsi" w:hAnsiTheme="minorHAnsi" w:cstheme="minorHAnsi"/>
          <w:sz w:val="24"/>
          <w:szCs w:val="24"/>
        </w:rPr>
        <w:t>335, inc</w:t>
      </w:r>
      <w:r w:rsidR="00CD7E27">
        <w:rPr>
          <w:rFonts w:asciiTheme="minorHAnsi" w:hAnsiTheme="minorHAnsi" w:cstheme="minorHAnsi"/>
          <w:sz w:val="24"/>
          <w:szCs w:val="24"/>
        </w:rPr>
        <w:t>.</w:t>
      </w:r>
      <w:r w:rsidRPr="00BD102A">
        <w:rPr>
          <w:rFonts w:asciiTheme="minorHAnsi" w:hAnsiTheme="minorHAnsi" w:cstheme="minorHAnsi"/>
          <w:sz w:val="24"/>
          <w:szCs w:val="24"/>
        </w:rPr>
        <w:t xml:space="preserve"> I, do CPC.</w:t>
      </w:r>
    </w:p>
    <w:p w14:paraId="02BB4922" w14:textId="77777777" w:rsidR="00995270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123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>: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 xml:space="preserve"> </w:t>
      </w:r>
      <w:r w:rsidR="00995270" w:rsidRPr="00BD102A">
        <w:rPr>
          <w:rFonts w:asciiTheme="minorHAnsi" w:hAnsiTheme="minorHAnsi" w:cstheme="minorHAnsi"/>
          <w:sz w:val="24"/>
          <w:szCs w:val="24"/>
        </w:rPr>
        <w:t>Aplica-se o art. 339 do CPC</w:t>
      </w:r>
      <w:r w:rsidR="008C1E23" w:rsidRPr="00BD102A">
        <w:rPr>
          <w:rFonts w:asciiTheme="minorHAnsi" w:hAnsiTheme="minorHAnsi" w:cstheme="minorHAnsi"/>
          <w:sz w:val="24"/>
          <w:szCs w:val="24"/>
        </w:rPr>
        <w:t xml:space="preserve"> </w:t>
      </w:r>
      <w:r w:rsidR="00995270" w:rsidRPr="00BD102A">
        <w:rPr>
          <w:rFonts w:asciiTheme="minorHAnsi" w:hAnsiTheme="minorHAnsi" w:cstheme="minorHAnsi"/>
          <w:sz w:val="24"/>
          <w:szCs w:val="24"/>
        </w:rPr>
        <w:t>à autoridade coatora indicada na inicial do mandado de segurança e à pessoa jurídica que compõe o polo passivo.</w:t>
      </w:r>
    </w:p>
    <w:p w14:paraId="65F15552" w14:textId="77777777" w:rsidR="00602DA1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124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602DA1" w:rsidRPr="00BD102A">
        <w:rPr>
          <w:rFonts w:asciiTheme="minorHAnsi" w:hAnsiTheme="minorHAnsi" w:cstheme="minorHAnsi"/>
          <w:sz w:val="24"/>
          <w:szCs w:val="24"/>
        </w:rPr>
        <w:t>Não há preclusão consumativa do direito de apresentar contestação, se o réu se manifesta, antes da data da audiência de conciliação ou de mediação, quanto à incompetência do juízo.</w:t>
      </w:r>
    </w:p>
    <w:p w14:paraId="76631EED" w14:textId="77777777" w:rsidR="00E4545E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125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E4545E" w:rsidRPr="00BD102A">
        <w:rPr>
          <w:rFonts w:asciiTheme="minorHAnsi" w:hAnsiTheme="minorHAnsi" w:cstheme="minorHAnsi"/>
          <w:sz w:val="24"/>
          <w:szCs w:val="24"/>
        </w:rPr>
        <w:t>A decisão parcial de mérito não pode ser modificada senão em decorrência do recurso que a impugna.</w:t>
      </w:r>
    </w:p>
    <w:p w14:paraId="53A66FC5" w14:textId="77777777" w:rsidR="0085655A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126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juiz pode resolver parcialmente o mérito, em relação à matéria não afetada para julgamento, n</w:t>
      </w:r>
      <w:r w:rsidR="00192875" w:rsidRPr="00BD102A">
        <w:rPr>
          <w:rFonts w:asciiTheme="minorHAnsi" w:hAnsiTheme="minorHAnsi" w:cstheme="minorHAnsi"/>
          <w:sz w:val="24"/>
          <w:szCs w:val="24"/>
        </w:rPr>
        <w:t>o</w:t>
      </w:r>
      <w:r w:rsidRPr="00BD102A">
        <w:rPr>
          <w:rFonts w:asciiTheme="minorHAnsi" w:hAnsiTheme="minorHAnsi" w:cstheme="minorHAnsi"/>
          <w:sz w:val="24"/>
          <w:szCs w:val="24"/>
        </w:rPr>
        <w:t xml:space="preserve">s </w:t>
      </w:r>
      <w:r w:rsidR="00192875" w:rsidRPr="00BD102A">
        <w:rPr>
          <w:rFonts w:asciiTheme="minorHAnsi" w:hAnsiTheme="minorHAnsi" w:cstheme="minorHAnsi"/>
          <w:sz w:val="24"/>
          <w:szCs w:val="24"/>
        </w:rPr>
        <w:t>processos</w:t>
      </w:r>
      <w:r w:rsidRPr="00BD102A">
        <w:rPr>
          <w:rFonts w:asciiTheme="minorHAnsi" w:hAnsiTheme="minorHAnsi" w:cstheme="minorHAnsi"/>
          <w:sz w:val="24"/>
          <w:szCs w:val="24"/>
        </w:rPr>
        <w:t xml:space="preserve"> suspens</w:t>
      </w:r>
      <w:r w:rsidR="00192875" w:rsidRPr="00BD102A">
        <w:rPr>
          <w:rFonts w:asciiTheme="minorHAnsi" w:hAnsiTheme="minorHAnsi" w:cstheme="minorHAnsi"/>
          <w:sz w:val="24"/>
          <w:szCs w:val="24"/>
        </w:rPr>
        <w:t>o</w:t>
      </w:r>
      <w:r w:rsidRPr="00BD102A">
        <w:rPr>
          <w:rFonts w:asciiTheme="minorHAnsi" w:hAnsiTheme="minorHAnsi" w:cstheme="minorHAnsi"/>
          <w:sz w:val="24"/>
          <w:szCs w:val="24"/>
        </w:rPr>
        <w:t>s em razão de recursos repetitivos, repercussão geral, incidente de resolução de demandas repetitivas ou incidente de assunção de competência.</w:t>
      </w:r>
    </w:p>
    <w:p w14:paraId="331AB434" w14:textId="77777777" w:rsidR="0085655A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127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juiz pode homologar parcialmente a delimitação consensual das questões de fato e de direito, após consulta às partes, na forma do art. 10</w:t>
      </w:r>
      <w:r w:rsidR="00B225F3" w:rsidRPr="00BD102A">
        <w:rPr>
          <w:rFonts w:asciiTheme="minorHAnsi" w:hAnsiTheme="minorHAnsi" w:cstheme="minorHAnsi"/>
          <w:sz w:val="24"/>
          <w:szCs w:val="24"/>
        </w:rPr>
        <w:t xml:space="preserve"> do CPC.</w:t>
      </w:r>
    </w:p>
    <w:p w14:paraId="22800E5A" w14:textId="77777777" w:rsidR="0085655A" w:rsidRPr="00BD102A" w:rsidRDefault="00FD797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Exceto quando reconhecida sua nulidade, a convenção das partes sobre o ônus da prova afasta a redistribuição por parte </w:t>
      </w:r>
      <w:r w:rsidR="0072659F" w:rsidRPr="00BD102A">
        <w:rPr>
          <w:rFonts w:asciiTheme="minorHAnsi" w:hAnsiTheme="minorHAnsi" w:cstheme="minorHAnsi"/>
          <w:sz w:val="24"/>
          <w:szCs w:val="24"/>
        </w:rPr>
        <w:t xml:space="preserve">do </w:t>
      </w:r>
      <w:r w:rsidRPr="00BD102A">
        <w:rPr>
          <w:rFonts w:asciiTheme="minorHAnsi" w:hAnsiTheme="minorHAnsi" w:cstheme="minorHAnsi"/>
          <w:sz w:val="24"/>
          <w:szCs w:val="24"/>
        </w:rPr>
        <w:t>juiz.</w:t>
      </w:r>
    </w:p>
    <w:p w14:paraId="25B355E8" w14:textId="77777777" w:rsidR="00E97BC8" w:rsidRDefault="00E97BC8" w:rsidP="00F65610">
      <w:pPr>
        <w:pStyle w:val="textCenter"/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F37C7F" w14:textId="77777777" w:rsidR="000A614E" w:rsidRPr="00BD102A" w:rsidRDefault="000A614E" w:rsidP="00F65610">
      <w:pPr>
        <w:pStyle w:val="textCenter"/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FBFE75" w14:textId="77777777" w:rsidR="00E36008" w:rsidRPr="00BD102A" w:rsidRDefault="00E36008" w:rsidP="00F65610">
      <w:pPr>
        <w:pStyle w:val="textCenter"/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TUTELA PROVISÓRIA E </w:t>
      </w:r>
      <w:r w:rsidR="008E0B60" w:rsidRPr="00BD102A">
        <w:rPr>
          <w:rFonts w:asciiTheme="minorHAnsi" w:hAnsiTheme="minorHAnsi" w:cstheme="minorHAnsi"/>
          <w:b/>
          <w:sz w:val="24"/>
          <w:szCs w:val="24"/>
        </w:rPr>
        <w:t>PROCEDIMENTOS ESPECIAIS</w:t>
      </w:r>
    </w:p>
    <w:p w14:paraId="3C5DC51E" w14:textId="77777777" w:rsidR="00E36008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129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É admitida a exibição de documentos como objeto de produção antecipada de prova, nos termos do art</w:t>
      </w:r>
      <w:r w:rsidR="00E30742" w:rsidRPr="00BD102A">
        <w:rPr>
          <w:rFonts w:asciiTheme="minorHAnsi" w:hAnsiTheme="minorHAnsi" w:cstheme="minorHAnsi"/>
          <w:sz w:val="24"/>
          <w:szCs w:val="24"/>
        </w:rPr>
        <w:t>.</w:t>
      </w:r>
      <w:r w:rsidRPr="00BD102A">
        <w:rPr>
          <w:rFonts w:asciiTheme="minorHAnsi" w:hAnsiTheme="minorHAnsi" w:cstheme="minorHAnsi"/>
          <w:sz w:val="24"/>
          <w:szCs w:val="24"/>
        </w:rPr>
        <w:t xml:space="preserve"> </w:t>
      </w:r>
      <w:r w:rsidR="00E30742" w:rsidRPr="00BD102A">
        <w:rPr>
          <w:rFonts w:asciiTheme="minorHAnsi" w:hAnsiTheme="minorHAnsi" w:cstheme="minorHAnsi"/>
          <w:sz w:val="24"/>
          <w:szCs w:val="24"/>
        </w:rPr>
        <w:t>3</w:t>
      </w:r>
      <w:r w:rsidRPr="00BD102A">
        <w:rPr>
          <w:rFonts w:asciiTheme="minorHAnsi" w:hAnsiTheme="minorHAnsi" w:cstheme="minorHAnsi"/>
          <w:sz w:val="24"/>
          <w:szCs w:val="24"/>
        </w:rPr>
        <w:t xml:space="preserve">81 do CPC.  </w:t>
      </w:r>
    </w:p>
    <w:p w14:paraId="745FD80D" w14:textId="77777777" w:rsidR="00E36008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130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É possível a estabilização de tutela antecipada antecedente em face da Fazenda Pública.</w:t>
      </w:r>
    </w:p>
    <w:p w14:paraId="1BF067DB" w14:textId="77777777" w:rsidR="00E36008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F65610">
        <w:rPr>
          <w:rStyle w:val="fontBold"/>
          <w:rFonts w:asciiTheme="minorHAnsi" w:hAnsiTheme="minorHAnsi" w:cstheme="minorHAnsi"/>
          <w:sz w:val="24"/>
          <w:szCs w:val="24"/>
        </w:rPr>
        <w:t>131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remissão ao art. 672, feita no art. 664, § 4º</w:t>
      </w:r>
      <w:r w:rsidR="00CD7E27">
        <w:rPr>
          <w:rFonts w:asciiTheme="minorHAnsi" w:hAnsiTheme="minorHAnsi" w:cstheme="minorHAnsi"/>
          <w:sz w:val="24"/>
          <w:szCs w:val="24"/>
        </w:rPr>
        <w:t>,</w:t>
      </w:r>
      <w:r w:rsidR="00E30742" w:rsidRPr="00BD102A">
        <w:rPr>
          <w:rFonts w:asciiTheme="minorHAnsi" w:hAnsiTheme="minorHAnsi" w:cstheme="minorHAnsi"/>
          <w:sz w:val="24"/>
          <w:szCs w:val="24"/>
        </w:rPr>
        <w:t xml:space="preserve"> do CPC</w:t>
      </w:r>
      <w:r w:rsidRPr="00BD102A">
        <w:rPr>
          <w:rFonts w:asciiTheme="minorHAnsi" w:hAnsiTheme="minorHAnsi" w:cstheme="minorHAnsi"/>
          <w:sz w:val="24"/>
          <w:szCs w:val="24"/>
        </w:rPr>
        <w:t>, consiste em erro material decorrente da renumeração de artigos durante a tramitação legislativa. A referência deve ser compreendida como sendo ao art. 662, norma que possui conteúdo integrativo adequado ao comando expresso e finalístico do art. 664, § 4º.</w:t>
      </w:r>
    </w:p>
    <w:p w14:paraId="70CCFD38" w14:textId="77777777" w:rsidR="00E36008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411812">
        <w:rPr>
          <w:rStyle w:val="fontBold"/>
          <w:rFonts w:asciiTheme="minorHAnsi" w:hAnsiTheme="minorHAnsi" w:cstheme="minorHAnsi"/>
          <w:sz w:val="24"/>
          <w:szCs w:val="24"/>
        </w:rPr>
        <w:t>132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prazo para apresentação de embargos de terceiro tem natureza processual e deve ser contado em dias úteis.</w:t>
      </w:r>
    </w:p>
    <w:p w14:paraId="031B442F" w14:textId="77777777" w:rsidR="00E36008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411812">
        <w:rPr>
          <w:rStyle w:val="fontBold"/>
          <w:rFonts w:asciiTheme="minorHAnsi" w:hAnsiTheme="minorHAnsi" w:cstheme="minorHAnsi"/>
          <w:sz w:val="24"/>
          <w:szCs w:val="24"/>
        </w:rPr>
        <w:t>133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É admissível a formulação de reconvenção em resposta aos embargos de terceiro, inclusive para </w:t>
      </w:r>
      <w:proofErr w:type="gramStart"/>
      <w:r w:rsidRPr="00BD102A">
        <w:rPr>
          <w:rFonts w:asciiTheme="minorHAnsi" w:hAnsiTheme="minorHAnsi" w:cstheme="minorHAnsi"/>
          <w:sz w:val="24"/>
          <w:szCs w:val="24"/>
        </w:rPr>
        <w:t>o</w:t>
      </w:r>
      <w:r w:rsidR="00CD7E27">
        <w:rPr>
          <w:rFonts w:asciiTheme="minorHAnsi" w:hAnsiTheme="minorHAnsi" w:cstheme="minorHAnsi"/>
          <w:sz w:val="24"/>
          <w:szCs w:val="24"/>
        </w:rPr>
        <w:t xml:space="preserve"> </w:t>
      </w:r>
      <w:r w:rsidRPr="00BD102A">
        <w:rPr>
          <w:rFonts w:asciiTheme="minorHAnsi" w:hAnsiTheme="minorHAnsi" w:cstheme="minorHAnsi"/>
          <w:sz w:val="24"/>
          <w:szCs w:val="24"/>
        </w:rPr>
        <w:t xml:space="preserve"> propósito</w:t>
      </w:r>
      <w:proofErr w:type="gramEnd"/>
      <w:r w:rsidR="00CD7E27">
        <w:rPr>
          <w:rFonts w:asciiTheme="minorHAnsi" w:hAnsiTheme="minorHAnsi" w:cstheme="minorHAnsi"/>
          <w:sz w:val="24"/>
          <w:szCs w:val="24"/>
        </w:rPr>
        <w:t xml:space="preserve"> </w:t>
      </w:r>
      <w:r w:rsidRPr="00BD102A">
        <w:rPr>
          <w:rFonts w:asciiTheme="minorHAnsi" w:hAnsiTheme="minorHAnsi" w:cstheme="minorHAnsi"/>
          <w:sz w:val="24"/>
          <w:szCs w:val="24"/>
        </w:rPr>
        <w:t>de veicular pedido típico de ação pauliana, nas hipóteses de fraude contra credores. </w:t>
      </w:r>
    </w:p>
    <w:p w14:paraId="481375D9" w14:textId="77777777" w:rsidR="008E0B60" w:rsidRPr="00BD102A" w:rsidRDefault="00E3600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411812">
        <w:rPr>
          <w:rStyle w:val="fontBold"/>
          <w:rFonts w:asciiTheme="minorHAnsi" w:hAnsiTheme="minorHAnsi" w:cstheme="minorHAnsi"/>
          <w:sz w:val="24"/>
          <w:szCs w:val="24"/>
        </w:rPr>
        <w:t>134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 apelação contra a sentença que julga improcedentes </w:t>
      </w:r>
      <w:proofErr w:type="gramStart"/>
      <w:r w:rsidRPr="00BD102A">
        <w:rPr>
          <w:rFonts w:asciiTheme="minorHAnsi" w:hAnsiTheme="minorHAnsi" w:cstheme="minorHAnsi"/>
          <w:sz w:val="24"/>
          <w:szCs w:val="24"/>
        </w:rPr>
        <w:t>os embargos ao mandado monitório não é</w:t>
      </w:r>
      <w:proofErr w:type="gramEnd"/>
      <w:r w:rsidRPr="00BD102A">
        <w:rPr>
          <w:rFonts w:asciiTheme="minorHAnsi" w:hAnsiTheme="minorHAnsi" w:cstheme="minorHAnsi"/>
          <w:sz w:val="24"/>
          <w:szCs w:val="24"/>
        </w:rPr>
        <w:t xml:space="preserve"> dotada de efeito suspensivo automático (art. 702, § 4º, e 1.012, § 1º, V, CPC).</w:t>
      </w:r>
    </w:p>
    <w:p w14:paraId="2D9CD735" w14:textId="77777777" w:rsidR="007210D9" w:rsidRPr="00BD102A" w:rsidRDefault="007210D9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F8E0C5" w14:textId="77777777" w:rsidR="00DD6B13" w:rsidRPr="00BD102A" w:rsidRDefault="00DD6B13" w:rsidP="00F65610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t>RECURSOS E PRECEDENTES JUDICIAIS</w:t>
      </w:r>
      <w:r w:rsidR="00B9307D" w:rsidRPr="00BD10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D3E194" w14:textId="77777777" w:rsidR="00F84E92" w:rsidRPr="00BD102A" w:rsidRDefault="00F84E92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135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É admissível a concessão de tutela da evidência fundada em tese firmada em incidente de assunção de competência. </w:t>
      </w:r>
    </w:p>
    <w:p w14:paraId="7D818F8D" w14:textId="77777777" w:rsidR="00DD6B13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136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 caução exigível em cumprimento provisório de sentença poderá ser dispensada se o julgado a ser cumprido estiver em consonância com tese firmada em incidente de assunção de competência. </w:t>
      </w:r>
    </w:p>
    <w:p w14:paraId="6E6D1B8A" w14:textId="77777777" w:rsidR="00BC67AC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137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Se o recurso do qual se originou a decisão embargada comportou a aplicação da técnica do art. 942 do CPC, os declaratórios eventualmente opostos serão julgados com a composição ampliada. </w:t>
      </w:r>
    </w:p>
    <w:p w14:paraId="6AC67F22" w14:textId="77777777" w:rsidR="00E36008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138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É cabível reclamação contra acórdão que aplicou indevidamente</w:t>
      </w:r>
      <w:r w:rsidR="00CD7E27">
        <w:rPr>
          <w:rFonts w:asciiTheme="minorHAnsi" w:hAnsiTheme="minorHAnsi" w:cstheme="minorHAnsi"/>
          <w:sz w:val="24"/>
          <w:szCs w:val="24"/>
        </w:rPr>
        <w:t xml:space="preserve"> </w:t>
      </w:r>
      <w:r w:rsidRPr="00BD102A">
        <w:rPr>
          <w:rFonts w:asciiTheme="minorHAnsi" w:hAnsiTheme="minorHAnsi" w:cstheme="minorHAnsi"/>
          <w:sz w:val="24"/>
          <w:szCs w:val="24"/>
        </w:rPr>
        <w:t xml:space="preserve">tese jurídica firmada em acórdão proferido em julgamento de recursos extraordinário ou especial repetitivos, após o esgotamento das instâncias ordinárias, por analogia ao quanto previsto no art. 988, § 4º, do CPC. </w:t>
      </w:r>
    </w:p>
    <w:p w14:paraId="5C081AE2" w14:textId="77777777" w:rsidR="00BC67AC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139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 ausência de retratação do órgão julgador, na hipótese prevista no art. 1030, II, do CPC, dispensa a ratificação expressa para que haja o juízo de admissibilidade e a eventual remessa do recurso extraordinário ou especial ao </w:t>
      </w:r>
      <w:r w:rsidR="00CD7E27">
        <w:rPr>
          <w:rFonts w:asciiTheme="minorHAnsi" w:hAnsiTheme="minorHAnsi" w:cstheme="minorHAnsi"/>
          <w:sz w:val="24"/>
          <w:szCs w:val="24"/>
        </w:rPr>
        <w:t>t</w:t>
      </w:r>
      <w:r w:rsidRPr="00BD102A">
        <w:rPr>
          <w:rFonts w:asciiTheme="minorHAnsi" w:hAnsiTheme="minorHAnsi" w:cstheme="minorHAnsi"/>
          <w:sz w:val="24"/>
          <w:szCs w:val="24"/>
        </w:rPr>
        <w:t xml:space="preserve">ribunal </w:t>
      </w:r>
      <w:r w:rsidR="00CD7E27">
        <w:rPr>
          <w:rFonts w:asciiTheme="minorHAnsi" w:hAnsiTheme="minorHAnsi" w:cstheme="minorHAnsi"/>
          <w:sz w:val="24"/>
          <w:szCs w:val="24"/>
        </w:rPr>
        <w:t>s</w:t>
      </w:r>
      <w:r w:rsidRPr="00BD102A">
        <w:rPr>
          <w:rFonts w:asciiTheme="minorHAnsi" w:hAnsiTheme="minorHAnsi" w:cstheme="minorHAnsi"/>
          <w:sz w:val="24"/>
          <w:szCs w:val="24"/>
        </w:rPr>
        <w:t xml:space="preserve">uperior competente, na forma dos </w:t>
      </w:r>
      <w:proofErr w:type="spellStart"/>
      <w:r w:rsidRPr="00BD102A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BD102A">
        <w:rPr>
          <w:rFonts w:asciiTheme="minorHAnsi" w:hAnsiTheme="minorHAnsi" w:cstheme="minorHAnsi"/>
          <w:sz w:val="24"/>
          <w:szCs w:val="24"/>
        </w:rPr>
        <w:t>. 1.030, V, “c”, e 1.041 do CPC</w:t>
      </w:r>
      <w:r w:rsidR="00DD6B13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3DFC40B8" w14:textId="77777777" w:rsidR="00BC67AC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140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 suspensão de processos pendentes, individuais ou coletivos, que tramitam no Estado ou na região prevista no art. 982, I, do CPC não é decorrência automática e necessária da admissão do IRDR, competindo ao </w:t>
      </w:r>
      <w:r w:rsidR="00E30742" w:rsidRPr="00BD102A">
        <w:rPr>
          <w:rFonts w:asciiTheme="minorHAnsi" w:hAnsiTheme="minorHAnsi" w:cstheme="minorHAnsi"/>
          <w:sz w:val="24"/>
          <w:szCs w:val="24"/>
        </w:rPr>
        <w:t>r</w:t>
      </w:r>
      <w:r w:rsidRPr="00BD102A">
        <w:rPr>
          <w:rFonts w:asciiTheme="minorHAnsi" w:hAnsiTheme="minorHAnsi" w:cstheme="minorHAnsi"/>
          <w:sz w:val="24"/>
          <w:szCs w:val="24"/>
        </w:rPr>
        <w:t>elator</w:t>
      </w:r>
      <w:r w:rsidR="00E30742" w:rsidRPr="00BD102A">
        <w:rPr>
          <w:rFonts w:asciiTheme="minorHAnsi" w:hAnsiTheme="minorHAnsi" w:cstheme="minorHAnsi"/>
          <w:sz w:val="24"/>
          <w:szCs w:val="24"/>
        </w:rPr>
        <w:t xml:space="preserve"> ou ao </w:t>
      </w:r>
      <w:r w:rsidRPr="00BD102A">
        <w:rPr>
          <w:rFonts w:asciiTheme="minorHAnsi" w:hAnsiTheme="minorHAnsi" w:cstheme="minorHAnsi"/>
          <w:sz w:val="24"/>
          <w:szCs w:val="24"/>
        </w:rPr>
        <w:t>colegiado decidir acerca da sua conveniência.</w:t>
      </w:r>
      <w:r w:rsidR="00DD6B13" w:rsidRPr="00BD10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4BACE9" w14:textId="77777777" w:rsidR="007210D9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lastRenderedPageBreak/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141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É possível a conversão de Incidente de Assunção de Competência em Incidente de Resolução de Demandas Repetitivas, se demonstrada a efetiva repetição de processos em que se discute a mesma questão de direito</w:t>
      </w:r>
      <w:r w:rsidR="00DD6B13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1F3526DC" w14:textId="77777777" w:rsidR="00BC67AC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142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Determinada a suspensão decorrente da admissão do IRDR (art. 982, I), a alegação de distinção entre a questão jurídica versada em uma demanda em curso e aquela a ser julgada no incidente será veiculada por meio do requerimento previsto no art. 1.037, §10</w:t>
      </w:r>
      <w:r w:rsidR="00DD6B13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552092F2" w14:textId="77777777" w:rsidR="00DD6B13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143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DF56D4">
        <w:rPr>
          <w:rFonts w:asciiTheme="minorHAnsi" w:hAnsiTheme="minorHAnsi" w:cstheme="minorHAnsi"/>
          <w:sz w:val="24"/>
          <w:szCs w:val="24"/>
        </w:rPr>
        <w:t>O pedido de revisão</w:t>
      </w:r>
      <w:r w:rsidRPr="00BD102A">
        <w:rPr>
          <w:rFonts w:asciiTheme="minorHAnsi" w:hAnsiTheme="minorHAnsi" w:cstheme="minorHAnsi"/>
          <w:sz w:val="24"/>
          <w:szCs w:val="24"/>
        </w:rPr>
        <w:t xml:space="preserve"> da tese jurídica firmada no incidente de resolução de demandas repetitivas pode ser feita pelas partes, nos termos do art. 977, II</w:t>
      </w:r>
      <w:r w:rsidR="00CD7E27">
        <w:rPr>
          <w:rFonts w:asciiTheme="minorHAnsi" w:hAnsiTheme="minorHAnsi" w:cstheme="minorHAnsi"/>
          <w:sz w:val="24"/>
          <w:szCs w:val="24"/>
        </w:rPr>
        <w:t>,</w:t>
      </w:r>
      <w:r w:rsidRPr="00BD102A">
        <w:rPr>
          <w:rFonts w:asciiTheme="minorHAnsi" w:hAnsiTheme="minorHAnsi" w:cstheme="minorHAnsi"/>
          <w:sz w:val="24"/>
          <w:szCs w:val="24"/>
        </w:rPr>
        <w:t xml:space="preserve"> do CPC/2015. </w:t>
      </w:r>
    </w:p>
    <w:p w14:paraId="5DB243A0" w14:textId="77777777" w:rsidR="00BC67AC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144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No caso de apelação, o deferimento de tutela provisória em sentença retira-lhe o efeito suspensivo referente ao capítulo atingido pela tutela</w:t>
      </w:r>
      <w:r w:rsidR="00DD6B13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1AD938AE" w14:textId="77777777" w:rsidR="00DD6B13" w:rsidRPr="00BD102A" w:rsidRDefault="00BC67AC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145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 recurso cabível contra a decisão que julga a liquidação de sentença é o Agravo de Instrumento</w:t>
      </w:r>
      <w:r w:rsidR="00DD6B13" w:rsidRPr="00BD102A">
        <w:rPr>
          <w:rFonts w:asciiTheme="minorHAnsi" w:hAnsiTheme="minorHAnsi" w:cstheme="minorHAnsi"/>
          <w:sz w:val="24"/>
          <w:szCs w:val="24"/>
        </w:rPr>
        <w:t>.</w:t>
      </w:r>
    </w:p>
    <w:p w14:paraId="1A601FBD" w14:textId="77777777" w:rsidR="00B9307D" w:rsidRPr="00BD102A" w:rsidRDefault="00B9307D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AE55CC" w14:textId="77777777" w:rsidR="00470D56" w:rsidRPr="00BD102A" w:rsidRDefault="00B9307D" w:rsidP="00F65610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102A">
        <w:rPr>
          <w:rFonts w:asciiTheme="minorHAnsi" w:hAnsiTheme="minorHAnsi" w:cstheme="minorHAnsi"/>
          <w:b/>
          <w:sz w:val="24"/>
          <w:szCs w:val="24"/>
        </w:rPr>
        <w:t>E</w:t>
      </w:r>
      <w:r w:rsidR="00470D56" w:rsidRPr="00BD102A">
        <w:rPr>
          <w:rFonts w:asciiTheme="minorHAnsi" w:hAnsiTheme="minorHAnsi" w:cstheme="minorHAnsi"/>
          <w:b/>
          <w:sz w:val="24"/>
          <w:szCs w:val="24"/>
        </w:rPr>
        <w:t>XECUÇÃO E CUMPRIMENTO DE SENTENÇA</w:t>
      </w:r>
      <w:r w:rsidRPr="00BD10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1E5F87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146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prazo de 3 (três) dias previsto pelo art. 528 do CPC conta-se em dias úteis e na forma dos incisos do art. 231 do CPC, não se aplicando seu § 3º.</w:t>
      </w:r>
    </w:p>
    <w:p w14:paraId="2B43B7F4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147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Basta o inadimplemento de uma parcela, no todo ou em parte, para decretação da prisão civil prevista no art. 528, § 7º</w:t>
      </w:r>
      <w:r w:rsidR="00D3787C">
        <w:rPr>
          <w:rFonts w:asciiTheme="minorHAnsi" w:hAnsiTheme="minorHAnsi" w:cstheme="minorHAnsi"/>
          <w:sz w:val="24"/>
          <w:szCs w:val="24"/>
        </w:rPr>
        <w:t>,</w:t>
      </w:r>
      <w:r w:rsidRPr="00BD102A">
        <w:rPr>
          <w:rFonts w:asciiTheme="minorHAnsi" w:hAnsiTheme="minorHAnsi" w:cstheme="minorHAnsi"/>
          <w:sz w:val="24"/>
          <w:szCs w:val="24"/>
        </w:rPr>
        <w:t xml:space="preserve"> do CPC.</w:t>
      </w:r>
    </w:p>
    <w:p w14:paraId="5FF4D36C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reiteração pelo exequente ou executado de matérias já preclusas pode ensejar a aplicação de multa por conduta contrária à boa-fé.</w:t>
      </w:r>
    </w:p>
    <w:p w14:paraId="4E5FB086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149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falta de averbação da pendência de processo ou da existência de hipoteca judiciária ou de constrição judicial sobre bem no registro de imóveis</w:t>
      </w:r>
      <w:r w:rsidR="00D3787C">
        <w:rPr>
          <w:rFonts w:asciiTheme="minorHAnsi" w:hAnsiTheme="minorHAnsi" w:cstheme="minorHAnsi"/>
          <w:sz w:val="24"/>
          <w:szCs w:val="24"/>
        </w:rPr>
        <w:t xml:space="preserve"> </w:t>
      </w:r>
      <w:r w:rsidRPr="00BD102A">
        <w:rPr>
          <w:rFonts w:asciiTheme="minorHAnsi" w:hAnsiTheme="minorHAnsi" w:cstheme="minorHAnsi"/>
          <w:sz w:val="24"/>
          <w:szCs w:val="24"/>
        </w:rPr>
        <w:t>não impede que o exequente comprove a má-fé do terceiro que tenha adquirido a propriedade ou qualquer outro direito real sobre o bem. </w:t>
      </w:r>
    </w:p>
    <w:p w14:paraId="4803D9CC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150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 xml:space="preserve">Aplicam-se ao direito de laje os </w:t>
      </w:r>
      <w:proofErr w:type="spellStart"/>
      <w:r w:rsidRPr="00BD102A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BD102A">
        <w:rPr>
          <w:rFonts w:asciiTheme="minorHAnsi" w:hAnsiTheme="minorHAnsi" w:cstheme="minorHAnsi"/>
          <w:sz w:val="24"/>
          <w:szCs w:val="24"/>
        </w:rPr>
        <w:t>. 791, 804 e 889, III, do CPC.</w:t>
      </w:r>
    </w:p>
    <w:p w14:paraId="56C74E22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151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legitimado pode remir a execução até a lavratura do auto de adjudicação ou de alienação (CPC, art. 826).</w:t>
      </w:r>
    </w:p>
    <w:p w14:paraId="370D6530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152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pacto de impenhorabilidade (</w:t>
      </w:r>
      <w:proofErr w:type="spellStart"/>
      <w:r w:rsidRPr="00BD102A">
        <w:rPr>
          <w:rFonts w:asciiTheme="minorHAnsi" w:hAnsiTheme="minorHAnsi" w:cstheme="minorHAnsi"/>
          <w:sz w:val="24"/>
          <w:szCs w:val="24"/>
        </w:rPr>
        <w:t>arts</w:t>
      </w:r>
      <w:proofErr w:type="spellEnd"/>
      <w:r w:rsidRPr="00BD102A">
        <w:rPr>
          <w:rFonts w:asciiTheme="minorHAnsi" w:hAnsiTheme="minorHAnsi" w:cstheme="minorHAnsi"/>
          <w:sz w:val="24"/>
          <w:szCs w:val="24"/>
        </w:rPr>
        <w:t>. 190, 200 e 833, I)</w:t>
      </w:r>
      <w:r w:rsidR="00D3787C">
        <w:rPr>
          <w:rFonts w:asciiTheme="minorHAnsi" w:hAnsiTheme="minorHAnsi" w:cstheme="minorHAnsi"/>
          <w:sz w:val="24"/>
          <w:szCs w:val="24"/>
        </w:rPr>
        <w:t xml:space="preserve"> </w:t>
      </w:r>
      <w:r w:rsidRPr="00BD102A">
        <w:rPr>
          <w:rFonts w:asciiTheme="minorHAnsi" w:hAnsiTheme="minorHAnsi" w:cstheme="minorHAnsi"/>
          <w:sz w:val="24"/>
          <w:szCs w:val="24"/>
        </w:rPr>
        <w:t>produz efeitos entre as partes, não alcançando terceiros. </w:t>
      </w:r>
    </w:p>
    <w:p w14:paraId="17EFBF6D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153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penhorabilidade dos bens, observados os critérios do art. 190 do CPC, pode ser objeto de convenção processual das partes.</w:t>
      </w:r>
    </w:p>
    <w:p w14:paraId="638F7C08" w14:textId="77777777" w:rsidR="00470D56" w:rsidRPr="00BD102A" w:rsidRDefault="00E97BC8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154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="00470D56" w:rsidRPr="00BD102A">
        <w:rPr>
          <w:rFonts w:asciiTheme="minorHAnsi" w:hAnsiTheme="minorHAnsi" w:cstheme="minorHAnsi"/>
          <w:sz w:val="24"/>
          <w:szCs w:val="24"/>
        </w:rPr>
        <w:t>O exequente deve providenciar a intimação do coproprietário no caso da penhora de bem indivisível ou de direito real sobre bem indivisível.</w:t>
      </w:r>
    </w:p>
    <w:p w14:paraId="12962B08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155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penhora a que alude o art. 860 do CPC poderá recair sobre direito litigioso ainda não reconhecido por decisão transitada em julgado.</w:t>
      </w:r>
    </w:p>
    <w:p w14:paraId="25FD8981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lastRenderedPageBreak/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156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O decurso de tempo entre a avaliação do bem penhorado e a sua alienação não importa, por si só, nova avaliação, a qual deve ser realizada se houver</w:t>
      </w:r>
      <w:r w:rsidR="00D3787C">
        <w:rPr>
          <w:rFonts w:asciiTheme="minorHAnsi" w:hAnsiTheme="minorHAnsi" w:cstheme="minorHAnsi"/>
          <w:sz w:val="24"/>
          <w:szCs w:val="24"/>
        </w:rPr>
        <w:t>,</w:t>
      </w:r>
      <w:r w:rsidRPr="00BD102A">
        <w:rPr>
          <w:rFonts w:asciiTheme="minorHAnsi" w:hAnsiTheme="minorHAnsi" w:cstheme="minorHAnsi"/>
          <w:sz w:val="24"/>
          <w:szCs w:val="24"/>
        </w:rPr>
        <w:t xml:space="preserve"> nos autos</w:t>
      </w:r>
      <w:r w:rsidR="00D3787C">
        <w:rPr>
          <w:rFonts w:asciiTheme="minorHAnsi" w:hAnsiTheme="minorHAnsi" w:cstheme="minorHAnsi"/>
          <w:sz w:val="24"/>
          <w:szCs w:val="24"/>
        </w:rPr>
        <w:t>,</w:t>
      </w:r>
      <w:r w:rsidRPr="00BD102A">
        <w:rPr>
          <w:rFonts w:asciiTheme="minorHAnsi" w:hAnsiTheme="minorHAnsi" w:cstheme="minorHAnsi"/>
          <w:sz w:val="24"/>
          <w:szCs w:val="24"/>
        </w:rPr>
        <w:t xml:space="preserve"> indícios de que houve majoração ou diminuição no valor.</w:t>
      </w:r>
    </w:p>
    <w:p w14:paraId="0A90EB2A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157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No leilão eletrônico, a proposta de pagamento parcelado (art. 895 do CPC), observado o valor mínimo fixado pelo juiz, deverá ser apresentada até o início do leilão, nos termos do art. 886, IV, do CPC.</w:t>
      </w:r>
    </w:p>
    <w:p w14:paraId="749A60CD" w14:textId="77777777" w:rsidR="00470D56" w:rsidRPr="00BD102A" w:rsidRDefault="00470D56" w:rsidP="00F65610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Enunciado </w:t>
      </w:r>
      <w:r w:rsidR="00AD2ACC">
        <w:rPr>
          <w:rStyle w:val="fontBold"/>
          <w:rFonts w:asciiTheme="minorHAnsi" w:hAnsiTheme="minorHAnsi" w:cstheme="minorHAnsi"/>
          <w:sz w:val="24"/>
          <w:szCs w:val="24"/>
        </w:rPr>
        <w:t>158</w:t>
      </w:r>
      <w:r w:rsidRPr="00BD102A">
        <w:rPr>
          <w:rStyle w:val="fontBold"/>
          <w:rFonts w:asciiTheme="minorHAnsi" w:hAnsiTheme="minorHAnsi" w:cstheme="minorHAnsi"/>
          <w:sz w:val="24"/>
          <w:szCs w:val="24"/>
        </w:rPr>
        <w:t xml:space="preserve">: </w:t>
      </w:r>
      <w:r w:rsidRPr="00BD102A">
        <w:rPr>
          <w:rFonts w:asciiTheme="minorHAnsi" w:hAnsiTheme="minorHAnsi" w:cstheme="minorHAnsi"/>
          <w:sz w:val="24"/>
          <w:szCs w:val="24"/>
        </w:rPr>
        <w:t>A sentença de rejeição dos embargos à execução opostos pela Fazenda Pública não está sujeita à remessa necessária.  </w:t>
      </w:r>
    </w:p>
    <w:sectPr w:rsidR="00470D56" w:rsidRPr="00BD102A" w:rsidSect="00F65610">
      <w:headerReference w:type="default" r:id="rId6"/>
      <w:footerReference w:type="default" r:id="rId7"/>
      <w:pgSz w:w="11870" w:h="1678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63728" w14:textId="77777777" w:rsidR="004F11DA" w:rsidRDefault="004F11DA" w:rsidP="00B224D9">
      <w:pPr>
        <w:spacing w:after="0" w:line="240" w:lineRule="auto"/>
      </w:pPr>
      <w:r>
        <w:separator/>
      </w:r>
    </w:p>
  </w:endnote>
  <w:endnote w:type="continuationSeparator" w:id="0">
    <w:p w14:paraId="1308655A" w14:textId="77777777" w:rsidR="004F11DA" w:rsidRDefault="004F11DA" w:rsidP="00B2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5217059"/>
      <w:docPartObj>
        <w:docPartGallery w:val="Page Numbers (Bottom of Page)"/>
        <w:docPartUnique/>
      </w:docPartObj>
    </w:sdtPr>
    <w:sdtEndPr/>
    <w:sdtContent>
      <w:p w14:paraId="5E37424D" w14:textId="77777777" w:rsidR="00BC67AC" w:rsidRDefault="00BC67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4AB">
          <w:rPr>
            <w:noProof/>
          </w:rPr>
          <w:t>8</w:t>
        </w:r>
        <w:r>
          <w:fldChar w:fldCharType="end"/>
        </w:r>
      </w:p>
    </w:sdtContent>
  </w:sdt>
  <w:p w14:paraId="08F7798A" w14:textId="77777777" w:rsidR="00BC67AC" w:rsidRDefault="00BC67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F5F9" w14:textId="77777777" w:rsidR="004F11DA" w:rsidRDefault="004F11DA" w:rsidP="00B224D9">
      <w:pPr>
        <w:spacing w:after="0" w:line="240" w:lineRule="auto"/>
      </w:pPr>
      <w:r>
        <w:separator/>
      </w:r>
    </w:p>
  </w:footnote>
  <w:footnote w:type="continuationSeparator" w:id="0">
    <w:p w14:paraId="095E6FE4" w14:textId="77777777" w:rsidR="004F11DA" w:rsidRDefault="004F11DA" w:rsidP="00B2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25E2" w14:textId="77777777" w:rsidR="00B27C71" w:rsidRDefault="00B27C71" w:rsidP="007210D9">
    <w:pPr>
      <w:pStyle w:val="textCenter"/>
      <w:spacing w:after="0" w:line="240" w:lineRule="auto"/>
    </w:pPr>
    <w:r>
      <w:rPr>
        <w:noProof/>
      </w:rPr>
      <w:drawing>
        <wp:inline distT="0" distB="0" distL="0" distR="0" wp14:anchorId="1B087BB0" wp14:editId="2F7DDC31">
          <wp:extent cx="1961901" cy="127635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445" cy="1296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357FF" w14:textId="77777777" w:rsidR="00B27C71" w:rsidRDefault="00B27C71" w:rsidP="007210D9">
    <w:pPr>
      <w:pStyle w:val="textCenter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5A"/>
    <w:rsid w:val="00014B68"/>
    <w:rsid w:val="000332D1"/>
    <w:rsid w:val="00073F52"/>
    <w:rsid w:val="00095505"/>
    <w:rsid w:val="000A614E"/>
    <w:rsid w:val="000C6BD2"/>
    <w:rsid w:val="000E7A32"/>
    <w:rsid w:val="000E7B48"/>
    <w:rsid w:val="000F5020"/>
    <w:rsid w:val="00162CAC"/>
    <w:rsid w:val="00166261"/>
    <w:rsid w:val="00192875"/>
    <w:rsid w:val="001C2E5B"/>
    <w:rsid w:val="001E5EE4"/>
    <w:rsid w:val="00223277"/>
    <w:rsid w:val="0022485A"/>
    <w:rsid w:val="00263022"/>
    <w:rsid w:val="002C70FC"/>
    <w:rsid w:val="002F0B62"/>
    <w:rsid w:val="003204AB"/>
    <w:rsid w:val="003E4BDE"/>
    <w:rsid w:val="0040784C"/>
    <w:rsid w:val="004078F3"/>
    <w:rsid w:val="00411812"/>
    <w:rsid w:val="004129EB"/>
    <w:rsid w:val="00414D92"/>
    <w:rsid w:val="00416E97"/>
    <w:rsid w:val="004228E4"/>
    <w:rsid w:val="00434A9A"/>
    <w:rsid w:val="00470D56"/>
    <w:rsid w:val="004954F5"/>
    <w:rsid w:val="004C6E56"/>
    <w:rsid w:val="004E6B0D"/>
    <w:rsid w:val="004F11DA"/>
    <w:rsid w:val="004F3BCB"/>
    <w:rsid w:val="00504560"/>
    <w:rsid w:val="005637FA"/>
    <w:rsid w:val="005939DF"/>
    <w:rsid w:val="005E2796"/>
    <w:rsid w:val="00602DA1"/>
    <w:rsid w:val="0060680B"/>
    <w:rsid w:val="00634327"/>
    <w:rsid w:val="00652019"/>
    <w:rsid w:val="0066336A"/>
    <w:rsid w:val="00666D12"/>
    <w:rsid w:val="0067533E"/>
    <w:rsid w:val="00684397"/>
    <w:rsid w:val="006B089F"/>
    <w:rsid w:val="006B08DB"/>
    <w:rsid w:val="006D76ED"/>
    <w:rsid w:val="007210D9"/>
    <w:rsid w:val="00721CF7"/>
    <w:rsid w:val="0072659F"/>
    <w:rsid w:val="00757159"/>
    <w:rsid w:val="00772F2B"/>
    <w:rsid w:val="00812E1F"/>
    <w:rsid w:val="00827BC1"/>
    <w:rsid w:val="0085655A"/>
    <w:rsid w:val="00865A04"/>
    <w:rsid w:val="00897365"/>
    <w:rsid w:val="008A219E"/>
    <w:rsid w:val="008A2653"/>
    <w:rsid w:val="008C1E23"/>
    <w:rsid w:val="008E0B60"/>
    <w:rsid w:val="008F5DE7"/>
    <w:rsid w:val="00943921"/>
    <w:rsid w:val="00971E18"/>
    <w:rsid w:val="00995270"/>
    <w:rsid w:val="00996FF1"/>
    <w:rsid w:val="009C5161"/>
    <w:rsid w:val="00A20A45"/>
    <w:rsid w:val="00A525B2"/>
    <w:rsid w:val="00A543FC"/>
    <w:rsid w:val="00A56153"/>
    <w:rsid w:val="00AA0A14"/>
    <w:rsid w:val="00AD2ACC"/>
    <w:rsid w:val="00B21DFB"/>
    <w:rsid w:val="00B224D9"/>
    <w:rsid w:val="00B225F3"/>
    <w:rsid w:val="00B27C71"/>
    <w:rsid w:val="00B464C4"/>
    <w:rsid w:val="00B859C0"/>
    <w:rsid w:val="00B862EE"/>
    <w:rsid w:val="00B9307D"/>
    <w:rsid w:val="00BA7C5A"/>
    <w:rsid w:val="00BB3119"/>
    <w:rsid w:val="00BC557D"/>
    <w:rsid w:val="00BC67AC"/>
    <w:rsid w:val="00BD102A"/>
    <w:rsid w:val="00BD5B4E"/>
    <w:rsid w:val="00BD7F25"/>
    <w:rsid w:val="00C27940"/>
    <w:rsid w:val="00C34976"/>
    <w:rsid w:val="00C61429"/>
    <w:rsid w:val="00CA44BD"/>
    <w:rsid w:val="00CA5811"/>
    <w:rsid w:val="00CD7E27"/>
    <w:rsid w:val="00D01364"/>
    <w:rsid w:val="00D15044"/>
    <w:rsid w:val="00D166AE"/>
    <w:rsid w:val="00D3787C"/>
    <w:rsid w:val="00D507C5"/>
    <w:rsid w:val="00D636A3"/>
    <w:rsid w:val="00D65600"/>
    <w:rsid w:val="00D700BB"/>
    <w:rsid w:val="00D9337F"/>
    <w:rsid w:val="00DD6B13"/>
    <w:rsid w:val="00DF56D4"/>
    <w:rsid w:val="00E13BB7"/>
    <w:rsid w:val="00E30742"/>
    <w:rsid w:val="00E34774"/>
    <w:rsid w:val="00E36008"/>
    <w:rsid w:val="00E4545E"/>
    <w:rsid w:val="00E556FF"/>
    <w:rsid w:val="00E97BC8"/>
    <w:rsid w:val="00EA7D97"/>
    <w:rsid w:val="00EF57C5"/>
    <w:rsid w:val="00F00558"/>
    <w:rsid w:val="00F65610"/>
    <w:rsid w:val="00F84E92"/>
    <w:rsid w:val="00FA0A3E"/>
    <w:rsid w:val="00FD39A1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EBE7D"/>
  <w15:docId w15:val="{22583B33-5D95-4365-A3E5-32EEA05A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unhideWhenUsed/>
    <w:rPr>
      <w:vertAlign w:val="superscript"/>
    </w:rPr>
  </w:style>
  <w:style w:type="paragraph" w:customStyle="1" w:styleId="textCenter">
    <w:name w:val="textCenter"/>
    <w:basedOn w:val="Normal"/>
    <w:qFormat/>
    <w:pPr>
      <w:jc w:val="center"/>
    </w:pPr>
  </w:style>
  <w:style w:type="paragraph" w:customStyle="1" w:styleId="textRight">
    <w:name w:val="textRight"/>
    <w:basedOn w:val="Normal"/>
    <w:pPr>
      <w:jc w:val="right"/>
    </w:pPr>
  </w:style>
  <w:style w:type="character" w:customStyle="1" w:styleId="fontTitle">
    <w:name w:val="fontTitle"/>
    <w:rPr>
      <w:color w:val="808080"/>
      <w:sz w:val="24"/>
      <w:szCs w:val="24"/>
    </w:rPr>
  </w:style>
  <w:style w:type="character" w:customStyle="1" w:styleId="fontEvento">
    <w:name w:val="fontEvento"/>
    <w:rPr>
      <w:sz w:val="28"/>
      <w:szCs w:val="28"/>
    </w:rPr>
  </w:style>
  <w:style w:type="character" w:customStyle="1" w:styleId="fontBold">
    <w:name w:val="fontBold"/>
    <w:qFormat/>
    <w:rPr>
      <w:b/>
    </w:rPr>
  </w:style>
  <w:style w:type="paragraph" w:styleId="Cabealho">
    <w:name w:val="header"/>
    <w:basedOn w:val="Normal"/>
    <w:link w:val="CabealhoChar"/>
    <w:uiPriority w:val="99"/>
    <w:unhideWhenUsed/>
    <w:rsid w:val="00B2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4D9"/>
  </w:style>
  <w:style w:type="paragraph" w:styleId="Rodap">
    <w:name w:val="footer"/>
    <w:basedOn w:val="Normal"/>
    <w:link w:val="RodapChar"/>
    <w:uiPriority w:val="99"/>
    <w:unhideWhenUsed/>
    <w:rsid w:val="00B22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4D9"/>
  </w:style>
  <w:style w:type="paragraph" w:styleId="Textodebalo">
    <w:name w:val="Balloon Text"/>
    <w:basedOn w:val="Normal"/>
    <w:link w:val="TextodebaloChar"/>
    <w:uiPriority w:val="99"/>
    <w:semiHidden/>
    <w:unhideWhenUsed/>
    <w:rsid w:val="005E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Aparecida Correia de Mello</dc:creator>
  <cp:keywords/>
  <dc:description/>
  <cp:lastModifiedBy>daniel ustarroz</cp:lastModifiedBy>
  <cp:revision>2</cp:revision>
  <cp:lastPrinted>2018-09-17T20:16:00Z</cp:lastPrinted>
  <dcterms:created xsi:type="dcterms:W3CDTF">2019-04-29T20:55:00Z</dcterms:created>
  <dcterms:modified xsi:type="dcterms:W3CDTF">2019-04-29T20:55:00Z</dcterms:modified>
  <cp:category/>
</cp:coreProperties>
</file>